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REFERENCIAS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Power Points de César Layana sobre la construcción de las nociones procedentes del medio-espacio y pensamiento infantil.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Calibri" w:cs="Calibri" w:eastAsia="Calibri" w:hAnsi="Calibri"/>
          <w:sz w:val="24"/>
          <w:szCs w:val="24"/>
          <w:u w:val="none"/>
        </w:rPr>
      </w:pPr>
      <w:hyperlink r:id="rId5">
        <w:r w:rsidDel="00000000" w:rsidR="00000000" w:rsidRPr="00000000">
          <w:rPr>
            <w:rFonts w:ascii="Calibri" w:cs="Calibri" w:eastAsia="Calibri" w:hAnsi="Calibri"/>
            <w:color w:val="6b9f25"/>
            <w:sz w:val="24"/>
            <w:szCs w:val="24"/>
            <w:u w:val="single"/>
            <w:rtl w:val="0"/>
          </w:rPr>
          <w:t xml:space="preserve">http://constructivismo.webnode.es/autores-importantes/david-paul-ausubel-/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Libro Fermin Gonzalez.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El Mapa Conceptual y el Diagrama V. Recursos para la Enseñanza Superior en el Siglo XXI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constructivismo.webnode.es/autores-importantes/david-paul-ausubel-/" TargetMode="External"/></Relationships>
</file>