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82E" w:rsidRDefault="005F345E">
      <w:pPr>
        <w:jc w:val="center"/>
      </w:pPr>
      <w:bookmarkStart w:id="0" w:name="_GoBack"/>
      <w:bookmarkEnd w:id="0"/>
      <w:r>
        <w:rPr>
          <w:b/>
          <w:sz w:val="36"/>
          <w:szCs w:val="36"/>
        </w:rPr>
        <w:t>LA UVE DE GOWIN</w:t>
      </w:r>
    </w:p>
    <w:p w:rsidR="00AA782E" w:rsidRDefault="00AA782E">
      <w:pPr>
        <w:jc w:val="both"/>
      </w:pPr>
    </w:p>
    <w:p w:rsidR="00AA782E" w:rsidRDefault="005F345E">
      <w:pPr>
        <w:jc w:val="both"/>
      </w:pPr>
      <w:r>
        <w:rPr>
          <w:b/>
        </w:rPr>
        <w:t xml:space="preserve"> Definición Diagrama UVE de Gowin</w:t>
      </w:r>
    </w:p>
    <w:p w:rsidR="00AA782E" w:rsidRDefault="00AA782E">
      <w:pPr>
        <w:jc w:val="both"/>
      </w:pPr>
    </w:p>
    <w:p w:rsidR="00AA782E" w:rsidRDefault="005F345E">
      <w:pPr>
        <w:spacing w:line="360" w:lineRule="auto"/>
        <w:ind w:firstLine="720"/>
        <w:jc w:val="both"/>
      </w:pPr>
      <w:r>
        <w:t>Los estudios epistemológicos de Gowin y su preocupación por problemas pedagógicos le llevaron a inventar la V epistemológica. Este recurso instruccional involucra doce elementos en el proceso de construcción de conocimientos. Es un instrumento superador de</w:t>
      </w:r>
      <w:r>
        <w:t xml:space="preserve"> deficiencias metodológicas anteriores y que proporciona un marco de referencia mucho más amplio para una más eficaz investigación: de hecho, incluye las estereotipadas fases del método científico y además aporta conocimientos específicos de los conceptos,</w:t>
      </w:r>
      <w:r>
        <w:t xml:space="preserve"> principios, teorías y filosofía que guían la investigación.</w:t>
      </w:r>
    </w:p>
    <w:p w:rsidR="00AA782E" w:rsidRDefault="005F345E">
      <w:pPr>
        <w:spacing w:line="360" w:lineRule="auto"/>
        <w:ind w:firstLine="720"/>
        <w:jc w:val="both"/>
      </w:pPr>
      <w:r>
        <w:t>El Diagrama V constituye un método para ayudar a estudiantes y educadores a profundizar en la estructura y el significado del conocimiento que tratan de entender (metaconocimiento) y posibilita l</w:t>
      </w:r>
      <w:r>
        <w:t>a incorporación de nuevos conocimientos a la estructura teórico/conceptual que posee el alumno (aprendizaje significativo).</w:t>
      </w:r>
    </w:p>
    <w:p w:rsidR="00AA782E" w:rsidRDefault="005F345E">
      <w:pPr>
        <w:spacing w:line="360" w:lineRule="auto"/>
        <w:ind w:firstLine="720"/>
        <w:jc w:val="both"/>
      </w:pPr>
      <w:r>
        <w:t>Se trata de un recurso heurístico, es decir, que sirve para ayudar a resolver un problema o para entender un procedimiento.</w:t>
      </w:r>
    </w:p>
    <w:p w:rsidR="00AA782E" w:rsidRDefault="00AA782E">
      <w:pPr>
        <w:spacing w:line="360" w:lineRule="auto"/>
        <w:ind w:firstLine="720"/>
        <w:jc w:val="both"/>
      </w:pPr>
    </w:p>
    <w:p w:rsidR="00AA782E" w:rsidRDefault="005F345E">
      <w:pPr>
        <w:spacing w:line="360" w:lineRule="auto"/>
        <w:jc w:val="both"/>
      </w:pPr>
      <w:r>
        <w:rPr>
          <w:b/>
        </w:rPr>
        <w:t>Término</w:t>
      </w:r>
      <w:r>
        <w:rPr>
          <w:b/>
        </w:rPr>
        <w:t>s de la V de Gowin</w:t>
      </w:r>
    </w:p>
    <w:p w:rsidR="00AA782E" w:rsidRDefault="00AA782E">
      <w:pPr>
        <w:jc w:val="both"/>
      </w:pPr>
    </w:p>
    <w:p w:rsidR="00AA782E" w:rsidRDefault="005F345E">
      <w:pPr>
        <w:numPr>
          <w:ilvl w:val="0"/>
          <w:numId w:val="1"/>
        </w:numPr>
        <w:spacing w:line="360" w:lineRule="auto"/>
        <w:ind w:hanging="360"/>
        <w:contextualSpacing/>
        <w:jc w:val="both"/>
      </w:pPr>
      <w:r>
        <w:rPr>
          <w:b/>
        </w:rPr>
        <w:t>Cosmovisión:</w:t>
      </w:r>
      <w:r>
        <w:t xml:space="preserve"> Consiste en creencias acerca de temas amplios como gente, ciencia o conocimiento. Puede ser considerada como una opción sobre el mundo y su funcionamiento. Constituye el gran marco que ampara y justifica la investigación y/</w:t>
      </w:r>
      <w:r>
        <w:t>o el proceso de construcción de conocimiento. Está muy relacionada con el sistema de valores de cada persona.</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 xml:space="preserve">Filosofía: </w:t>
      </w:r>
      <w:r>
        <w:t xml:space="preserve">Aporta datos acerca de la naturaleza del conocimiento. La filosofía, por tanto, está en la base de la elección del tipo y metodología </w:t>
      </w:r>
      <w:r>
        <w:t>de la investigación a desarrollar. El modelo elegido guiará nuestro pensamiento durante el proceso de construcción de conocimiento.</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Teoría:</w:t>
      </w:r>
      <w:r>
        <w:t xml:space="preserve"> Las teorías son declaraciones, desarrolladas por la gente, que intentan explicar y predecir las interacciones entre</w:t>
      </w:r>
      <w:r>
        <w:t xml:space="preserve"> conceptos, acontecimientos y juicios de conocimiento. En algunos casos, las teorías presentes detrás de una materia pueden no ser evidentes para el profesor o para los alumnos; con todo, es muy importante que los alumnos se percatan de que alguna teoría o</w:t>
      </w:r>
      <w:r>
        <w:t>pera realmente en la explicación de los acontecimientos y en la predicción de nuevos conocimientos.</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Principios:</w:t>
      </w:r>
      <w:r>
        <w:t xml:space="preserve"> Un principio es una regla conceptual o metodológica que guía la investigación.</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Conceptos:</w:t>
      </w:r>
      <w:r>
        <w:t xml:space="preserve"> Para comprender el lado izquierdo o conceptual de la</w:t>
      </w:r>
      <w:r>
        <w:t xml:space="preserve"> V, es indispensable que el alumno y el profesor entienda lo que es un concepto. Se define como: Regularidad percibida en hechos u objetos, o registros de hechos u objetos, designada mediante un símbolo.</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Cuestión central</w:t>
      </w:r>
      <w:r>
        <w:t>: Indica la clase de juicio de cono</w:t>
      </w:r>
      <w:r>
        <w:t>cimiento que se va ha construir, qué conceptos y principios se necesitan manejar en la investigación y, finalmente, debe surgir el principal acontecimiento que va ha ser examinado y registrado.</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 xml:space="preserve">Acontecimiento: </w:t>
      </w:r>
      <w:r>
        <w:t>Los acontecimientos son sucesos reales de los</w:t>
      </w:r>
      <w:r>
        <w:t xml:space="preserve"> que tomamos un registro.</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Objetos:</w:t>
      </w:r>
      <w:r>
        <w:t xml:space="preserve"> Los objetos son los instrumentos en la investigación que permiten que el acontecimiento ocurra. Se pueden distinguir el objeto clave de la investigación, de los objetos que son relevantes, pero menos relacionados con la cuestión central.</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Registros:</w:t>
      </w:r>
      <w:r>
        <w:t xml:space="preserve"> Para </w:t>
      </w:r>
      <w:r>
        <w:t>hacer un registro, debemos considerar nuestras percepciones sensoriales y presentarlas en una forma que pueda ser comunicada a otros. Los registros pueden ser documentos escritos, fotografías, dibujos, cintas de grabación, etc. Es importante considerar que</w:t>
      </w:r>
      <w:r>
        <w:t xml:space="preserve"> un registro se hacer acerca de acontecimientos y objetos, no sobre conceptos.</w:t>
      </w:r>
    </w:p>
    <w:p w:rsidR="00AA782E" w:rsidRDefault="005F345E">
      <w:pPr>
        <w:numPr>
          <w:ilvl w:val="0"/>
          <w:numId w:val="1"/>
        </w:numPr>
        <w:spacing w:line="360" w:lineRule="auto"/>
        <w:ind w:hanging="360"/>
        <w:contextualSpacing/>
        <w:jc w:val="both"/>
      </w:pPr>
      <w:r>
        <w:rPr>
          <w:b/>
        </w:rPr>
        <w:t>Transformaciones</w:t>
      </w:r>
      <w:r>
        <w:t xml:space="preserve">: Las transformaciones se producen cuando los registros son reorganizados o reordenados en una forma más manejable. Las transformaciones más comunes en ciencias </w:t>
      </w:r>
      <w:r>
        <w:t>incluyen gráficos, tablas, estadísticas, etc.</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Juicios de conocimiento:</w:t>
      </w:r>
      <w:r>
        <w:t xml:space="preserve"> Son las respuestas a la pregunta/s central/es que fueron formuladas al comienzo de la investigación y, por tanto, proporcionan información. Los juicios de conocimiento deben ser consis</w:t>
      </w:r>
      <w:r>
        <w:t xml:space="preserve">tentes con la cuestión central, conceptos, principios, objetos, acontecimientos, registros y transformaciones que preceden a su construcción. </w:t>
      </w:r>
    </w:p>
    <w:p w:rsidR="00AA782E" w:rsidRDefault="00AA782E">
      <w:pPr>
        <w:spacing w:line="360" w:lineRule="auto"/>
        <w:jc w:val="both"/>
      </w:pPr>
    </w:p>
    <w:p w:rsidR="00AA782E" w:rsidRDefault="005F345E">
      <w:pPr>
        <w:numPr>
          <w:ilvl w:val="0"/>
          <w:numId w:val="1"/>
        </w:numPr>
        <w:spacing w:line="360" w:lineRule="auto"/>
        <w:ind w:hanging="360"/>
        <w:contextualSpacing/>
        <w:jc w:val="both"/>
      </w:pPr>
      <w:r>
        <w:rPr>
          <w:b/>
        </w:rPr>
        <w:t>Juicios de valor:</w:t>
      </w:r>
      <w:r>
        <w:t xml:space="preserve"> Se refiere a una interpretación de valor de los resultados o conclusiones obtenidas en una inv</w:t>
      </w:r>
      <w:r>
        <w:t xml:space="preserve">estigación. </w:t>
      </w:r>
    </w:p>
    <w:sectPr w:rsidR="00AA78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3A8"/>
    <w:multiLevelType w:val="multilevel"/>
    <w:tmpl w:val="94C48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AA782E"/>
    <w:rsid w:val="005F345E"/>
    <w:rsid w:val="00AA7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Myriam Ibarra Iriarte</cp:lastModifiedBy>
  <cp:revision>2</cp:revision>
  <dcterms:created xsi:type="dcterms:W3CDTF">2016-10-12T17:36:00Z</dcterms:created>
  <dcterms:modified xsi:type="dcterms:W3CDTF">2016-10-12T17:36:00Z</dcterms:modified>
</cp:coreProperties>
</file>