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00" w:lineRule="auto"/>
        <w:contextualSpacing w:val="0"/>
        <w:jc w:val="both"/>
      </w:pPr>
      <w:r w:rsidDel="00000000" w:rsidR="00000000" w:rsidRPr="00000000">
        <w:rPr>
          <w:rFonts w:ascii="Calibri" w:cs="Calibri" w:eastAsia="Calibri" w:hAnsi="Calibri"/>
          <w:sz w:val="22"/>
          <w:szCs w:val="22"/>
          <w:vertAlign w:val="baseline"/>
          <w:rtl w:val="0"/>
        </w:rPr>
        <w:t xml:space="preserve">UPNA. MASTER SECUNDARIA. Aprendizaje y enseñanza de la Biología y Geología</w:t>
      </w:r>
    </w:p>
    <w:p w:rsidR="00000000" w:rsidDel="00000000" w:rsidP="00000000" w:rsidRDefault="00000000" w:rsidRPr="00000000">
      <w:pPr>
        <w:spacing w:after="200" w:lineRule="auto"/>
        <w:contextualSpacing w:val="0"/>
        <w:jc w:val="both"/>
      </w:pPr>
      <w:r w:rsidDel="00000000" w:rsidR="00000000" w:rsidRPr="00000000">
        <w:rPr>
          <w:rFonts w:ascii="Calibri" w:cs="Calibri" w:eastAsia="Calibri" w:hAnsi="Calibri"/>
          <w:sz w:val="22"/>
          <w:szCs w:val="22"/>
          <w:vertAlign w:val="baseline"/>
          <w:rtl w:val="0"/>
        </w:rPr>
        <w:t xml:space="preserve">ARANTZAZU GURUCEAGA.</w:t>
      </w:r>
    </w:p>
    <w:p w:rsidR="00000000" w:rsidDel="00000000" w:rsidP="00000000" w:rsidRDefault="00000000" w:rsidRPr="00000000">
      <w:pPr>
        <w:spacing w:after="200" w:lineRule="auto"/>
        <w:contextualSpacing w:val="0"/>
        <w:jc w:val="both"/>
      </w:pPr>
      <w:r w:rsidDel="00000000" w:rsidR="00000000" w:rsidRPr="00000000">
        <w:rPr>
          <w:rFonts w:ascii="Calibri" w:cs="Calibri" w:eastAsia="Calibri" w:hAnsi="Calibri"/>
          <w:sz w:val="22"/>
          <w:szCs w:val="22"/>
          <w:vertAlign w:val="baseline"/>
          <w:rtl w:val="0"/>
        </w:rPr>
        <w:t xml:space="preserve">FECHA:  </w:t>
      </w:r>
    </w:p>
    <w:p w:rsidR="00000000" w:rsidDel="00000000" w:rsidP="00000000" w:rsidRDefault="00000000" w:rsidRPr="00000000">
      <w:pPr>
        <w:spacing w:after="200" w:lineRule="auto"/>
        <w:contextualSpacing w:val="0"/>
        <w:jc w:val="both"/>
      </w:pPr>
      <w:r w:rsidDel="00000000" w:rsidR="00000000" w:rsidRPr="00000000">
        <w:rPr>
          <w:rFonts w:ascii="Calibri" w:cs="Calibri" w:eastAsia="Calibri" w:hAnsi="Calibri"/>
          <w:sz w:val="22"/>
          <w:szCs w:val="22"/>
          <w:vertAlign w:val="baseline"/>
          <w:rtl w:val="0"/>
        </w:rPr>
        <w:t xml:space="preserve">Nombre:  </w:t>
      </w:r>
      <w:r w:rsidDel="00000000" w:rsidR="00000000" w:rsidRPr="00000000">
        <w:rPr>
          <w:rFonts w:ascii="Calibri" w:cs="Calibri" w:eastAsia="Calibri" w:hAnsi="Calibri"/>
          <w:sz w:val="22"/>
          <w:szCs w:val="22"/>
          <w:rtl w:val="0"/>
        </w:rPr>
        <w:t xml:space="preserve">M</w:t>
      </w:r>
      <w:r w:rsidDel="00000000" w:rsidR="00000000" w:rsidRPr="00000000">
        <w:rPr>
          <w:rFonts w:ascii="Calibri" w:cs="Calibri" w:eastAsia="Calibri" w:hAnsi="Calibri"/>
          <w:sz w:val="22"/>
          <w:szCs w:val="22"/>
          <w:vertAlign w:val="baseline"/>
          <w:rtl w:val="0"/>
        </w:rPr>
        <w:t xml:space="preserve">arta Balle</w:t>
      </w:r>
      <w:r w:rsidDel="00000000" w:rsidR="00000000" w:rsidRPr="00000000">
        <w:rPr>
          <w:rFonts w:ascii="Calibri" w:cs="Calibri" w:eastAsia="Calibri" w:hAnsi="Calibri"/>
          <w:sz w:val="22"/>
          <w:szCs w:val="22"/>
          <w:rtl w:val="0"/>
        </w:rPr>
        <w:t xml:space="preserve">steros y Liselot Lemmens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Calibri" w:cs="Calibri" w:eastAsia="Calibri" w:hAnsi="Calibri"/>
          <w:sz w:val="22"/>
          <w:szCs w:val="22"/>
          <w:vertAlign w:val="baseline"/>
          <w:rtl w:val="0"/>
        </w:rPr>
        <w:t xml:space="preserve">UVE3: </w:t>
      </w:r>
    </w:p>
    <w:p w:rsidR="00000000" w:rsidDel="00000000" w:rsidP="00000000" w:rsidRDefault="00000000" w:rsidRPr="00000000">
      <w:pPr>
        <w:contextualSpacing w:val="0"/>
        <w:jc w:val="both"/>
      </w:pPr>
      <w:r w:rsidDel="00000000" w:rsidR="00000000" w:rsidRPr="00000000">
        <w:rPr>
          <w:rFonts w:ascii="Calibri" w:cs="Calibri" w:eastAsia="Calibri" w:hAnsi="Calibri"/>
          <w:sz w:val="22"/>
          <w:szCs w:val="22"/>
          <w:vertAlign w:val="baseline"/>
          <w:rtl w:val="0"/>
        </w:rPr>
        <w:t xml:space="preserve">Lee el artículo “</w:t>
      </w:r>
      <w:r w:rsidDel="00000000" w:rsidR="00000000" w:rsidRPr="00000000">
        <w:rPr>
          <w:rFonts w:ascii="Calibri" w:cs="Calibri" w:eastAsia="Calibri" w:hAnsi="Calibri"/>
          <w:i w:val="1"/>
          <w:sz w:val="22"/>
          <w:szCs w:val="22"/>
          <w:vertAlign w:val="baseline"/>
          <w:rtl w:val="0"/>
        </w:rPr>
        <w:t xml:space="preserve">La V de Gowin, un instrumento para aprender a aprender (y a pensar)</w:t>
      </w:r>
      <w:r w:rsidDel="00000000" w:rsidR="00000000" w:rsidRPr="00000000">
        <w:rPr>
          <w:rFonts w:ascii="Calibri" w:cs="Calibri" w:eastAsia="Calibri" w:hAnsi="Calibri"/>
          <w:sz w:val="22"/>
          <w:szCs w:val="22"/>
          <w:vertAlign w:val="baseline"/>
          <w:rtl w:val="0"/>
        </w:rPr>
        <w:t xml:space="preserve">” de Mercè Izquierdo Aymerich y completa la siguiente tabla identificando   las ventajas y obstáculos del uso de la UVE. Para ello puedes tener como referencia tanto lo que dice los autores como tu propia opinión.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Calibri" w:cs="Calibri" w:eastAsia="Calibri" w:hAnsi="Calibri"/>
          <w:sz w:val="22"/>
          <w:szCs w:val="22"/>
          <w:vertAlign w:val="baseline"/>
          <w:rtl w:val="0"/>
        </w:rPr>
        <w:t xml:space="preserve">Puedes completar el trabajo leyendo el artículo de Juan Antonio Moreira o de Beatriz Ballester.</w:t>
      </w:r>
    </w:p>
    <w:p w:rsidR="00000000" w:rsidDel="00000000" w:rsidP="00000000" w:rsidRDefault="00000000" w:rsidRPr="00000000">
      <w:pPr>
        <w:ind w:left="720" w:firstLine="0"/>
        <w:contextualSpacing w:val="0"/>
        <w:jc w:val="both"/>
      </w:pPr>
      <w:r w:rsidDel="00000000" w:rsidR="00000000" w:rsidRPr="00000000">
        <w:rPr>
          <w:rtl w:val="0"/>
        </w:rPr>
      </w:r>
    </w:p>
    <w:tbl>
      <w:tblPr>
        <w:tblStyle w:val="Table1"/>
        <w:bidiVisual w:val="0"/>
        <w:tblW w:w="8625.0" w:type="dxa"/>
        <w:jc w:val="left"/>
        <w:tblInd w:w="-17.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10"/>
        <w:gridCol w:w="4815"/>
        <w:tblGridChange w:id="0">
          <w:tblGrid>
            <w:gridCol w:w="3810"/>
            <w:gridCol w:w="4815"/>
          </w:tblGrid>
        </w:tblGridChange>
      </w:tblGrid>
      <w:tr>
        <w:tc>
          <w:tcPr>
            <w:gridSpan w:val="2"/>
          </w:tcPr>
          <w:p w:rsidR="00000000" w:rsidDel="00000000" w:rsidP="00000000" w:rsidRDefault="00000000" w:rsidRPr="00000000">
            <w:pPr>
              <w:contextualSpacing w:val="0"/>
              <w:jc w:val="both"/>
            </w:pPr>
            <w:r w:rsidDel="00000000" w:rsidR="00000000" w:rsidRPr="00000000">
              <w:rPr>
                <w:rFonts w:ascii="Calibri" w:cs="Calibri" w:eastAsia="Calibri" w:hAnsi="Calibri"/>
                <w:sz w:val="22"/>
                <w:szCs w:val="22"/>
                <w:vertAlign w:val="baseline"/>
                <w:rtl w:val="0"/>
              </w:rPr>
              <w:t xml:space="preserve">Artículo: </w:t>
            </w:r>
            <w:r w:rsidDel="00000000" w:rsidR="00000000" w:rsidRPr="00000000">
              <w:rPr>
                <w:rFonts w:ascii="Calibri" w:cs="Calibri" w:eastAsia="Calibri" w:hAnsi="Calibri"/>
                <w:i w:val="1"/>
                <w:sz w:val="22"/>
                <w:szCs w:val="22"/>
                <w:rtl w:val="0"/>
              </w:rPr>
              <w:t xml:space="preserve">La V de Gowin, un instrumento para aprender a aprender (y a pensar)</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pPr>
              <w:contextualSpacing w:val="0"/>
              <w:jc w:val="both"/>
            </w:pPr>
            <w:r w:rsidDel="00000000" w:rsidR="00000000" w:rsidRPr="00000000">
              <w:rPr>
                <w:rFonts w:ascii="Calibri" w:cs="Calibri" w:eastAsia="Calibri" w:hAnsi="Calibri"/>
                <w:sz w:val="22"/>
                <w:szCs w:val="22"/>
                <w:vertAlign w:val="baseline"/>
                <w:rtl w:val="0"/>
              </w:rPr>
              <w:t xml:space="preserve">Autor/a: Mercè Izquierdo Aymerich</w:t>
            </w:r>
          </w:p>
        </w:tc>
      </w:tr>
      <w:tr>
        <w:tc>
          <w:tcPr/>
          <w:p w:rsidR="00000000" w:rsidDel="00000000" w:rsidP="00000000" w:rsidRDefault="00000000" w:rsidRPr="00000000">
            <w:pPr>
              <w:contextualSpacing w:val="0"/>
              <w:jc w:val="both"/>
            </w:pPr>
            <w:r w:rsidDel="00000000" w:rsidR="00000000" w:rsidRPr="00000000">
              <w:rPr>
                <w:rFonts w:ascii="Calibri" w:cs="Calibri" w:eastAsia="Calibri" w:hAnsi="Calibri"/>
                <w:sz w:val="22"/>
                <w:szCs w:val="22"/>
                <w:vertAlign w:val="baseline"/>
                <w:rtl w:val="0"/>
              </w:rPr>
              <w:t xml:space="preserve">OBSTÁCULOS </w:t>
            </w:r>
          </w:p>
        </w:tc>
        <w:tc>
          <w:tcPr/>
          <w:p w:rsidR="00000000" w:rsidDel="00000000" w:rsidP="00000000" w:rsidRDefault="00000000" w:rsidRPr="00000000">
            <w:pPr>
              <w:contextualSpacing w:val="0"/>
              <w:jc w:val="both"/>
            </w:pPr>
            <w:r w:rsidDel="00000000" w:rsidR="00000000" w:rsidRPr="00000000">
              <w:rPr>
                <w:rFonts w:ascii="Calibri" w:cs="Calibri" w:eastAsia="Calibri" w:hAnsi="Calibri"/>
                <w:sz w:val="22"/>
                <w:szCs w:val="22"/>
                <w:vertAlign w:val="baseline"/>
                <w:rtl w:val="0"/>
              </w:rPr>
              <w:t xml:space="preserve">VENTAJAS</w:t>
            </w:r>
          </w:p>
        </w:tc>
      </w:tr>
      <w:tr>
        <w:tc>
          <w:tcPr/>
          <w:p w:rsidR="00000000" w:rsidDel="00000000" w:rsidP="00000000" w:rsidRDefault="00000000" w:rsidRPr="00000000">
            <w:pPr>
              <w:contextualSpacing w:val="0"/>
              <w:jc w:val="both"/>
            </w:pPr>
            <w:r w:rsidDel="00000000" w:rsidR="00000000" w:rsidRPr="00000000">
              <w:rPr>
                <w:rFonts w:ascii="Calibri" w:cs="Calibri" w:eastAsia="Calibri" w:hAnsi="Calibri"/>
                <w:i w:val="1"/>
                <w:sz w:val="22"/>
                <w:szCs w:val="22"/>
                <w:rtl w:val="0"/>
              </w:rPr>
              <w:t xml:space="preserve">- Algunas veces los datos obtenidos para las UVE requieren la introducción de cambios en los esquemas teóricos iniciales y deben "inventarse" nuevos conceptos y relaciones.</w:t>
            </w: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Calibri" w:cs="Calibri" w:eastAsia="Calibri" w:hAnsi="Calibri"/>
                <w:i w:val="1"/>
                <w:sz w:val="22"/>
                <w:szCs w:val="22"/>
                <w:rtl w:val="0"/>
              </w:rPr>
              <w:t xml:space="preserve">- Los experimentos adquieren sentido gracias al esquema conceptual en el cual se ha formulado la pregunta. </w:t>
            </w:r>
          </w:p>
          <w:p w:rsidR="00000000" w:rsidDel="00000000" w:rsidP="00000000" w:rsidRDefault="00000000" w:rsidRPr="00000000">
            <w:pPr>
              <w:contextualSpacing w:val="0"/>
              <w:jc w:val="both"/>
            </w:pPr>
            <w:r w:rsidDel="00000000" w:rsidR="00000000" w:rsidRPr="00000000">
              <w:rPr>
                <w:rFonts w:ascii="Calibri" w:cs="Calibri" w:eastAsia="Calibri" w:hAnsi="Calibri"/>
                <w:i w:val="1"/>
                <w:sz w:val="22"/>
                <w:szCs w:val="22"/>
                <w:rtl w:val="0"/>
              </w:rPr>
              <w:t xml:space="preserve">- La UVE le sirve al alumnado de guía en el descubrimiento.</w:t>
            </w:r>
          </w:p>
          <w:p w:rsidR="00000000" w:rsidDel="00000000" w:rsidP="00000000" w:rsidRDefault="00000000" w:rsidRPr="00000000">
            <w:pPr>
              <w:contextualSpacing w:val="0"/>
              <w:jc w:val="both"/>
            </w:pPr>
            <w:r w:rsidDel="00000000" w:rsidR="00000000" w:rsidRPr="00000000">
              <w:rPr>
                <w:rFonts w:ascii="Calibri" w:cs="Calibri" w:eastAsia="Calibri" w:hAnsi="Calibri"/>
                <w:i w:val="1"/>
                <w:sz w:val="22"/>
                <w:szCs w:val="22"/>
                <w:rtl w:val="0"/>
              </w:rPr>
              <w:t xml:space="preserve">- La UVE permite valorar la participación del alumnado en la construcción de conocimientos</w:t>
            </w:r>
          </w:p>
          <w:p w:rsidR="00000000" w:rsidDel="00000000" w:rsidP="00000000" w:rsidRDefault="00000000" w:rsidRPr="00000000">
            <w:pPr>
              <w:contextualSpacing w:val="0"/>
              <w:jc w:val="both"/>
            </w:pPr>
            <w:r w:rsidDel="00000000" w:rsidR="00000000" w:rsidRPr="00000000">
              <w:rPr>
                <w:rFonts w:ascii="Calibri" w:cs="Calibri" w:eastAsia="Calibri" w:hAnsi="Calibri"/>
                <w:i w:val="1"/>
                <w:sz w:val="22"/>
                <w:szCs w:val="22"/>
                <w:rtl w:val="0"/>
              </w:rPr>
              <w:t xml:space="preserve">- Se da valor no sólo a los conceptos científicos, sino también a los que construye el alumnado. </w:t>
            </w:r>
          </w:p>
          <w:p w:rsidR="00000000" w:rsidDel="00000000" w:rsidP="00000000" w:rsidRDefault="00000000" w:rsidRPr="00000000">
            <w:pPr>
              <w:contextualSpacing w:val="0"/>
              <w:jc w:val="both"/>
            </w:pPr>
            <w:r w:rsidDel="00000000" w:rsidR="00000000" w:rsidRPr="00000000">
              <w:rPr>
                <w:rFonts w:ascii="Calibri" w:cs="Calibri" w:eastAsia="Calibri" w:hAnsi="Calibri"/>
                <w:i w:val="1"/>
                <w:sz w:val="22"/>
                <w:szCs w:val="22"/>
                <w:rtl w:val="0"/>
              </w:rPr>
              <w:t xml:space="preserve">- El enfoque de explicación de fenómenos naturales crea un interés en el alumnado y fomenta el diálogo.</w:t>
            </w:r>
          </w:p>
          <w:p w:rsidR="00000000" w:rsidDel="00000000" w:rsidP="00000000" w:rsidRDefault="00000000" w:rsidRPr="00000000">
            <w:pPr>
              <w:contextualSpacing w:val="0"/>
              <w:jc w:val="both"/>
              <w:rPr/>
            </w:pPr>
            <w:r w:rsidDel="00000000" w:rsidR="00000000" w:rsidRPr="00000000">
              <w:rPr>
                <w:rFonts w:ascii="Calibri" w:cs="Calibri" w:eastAsia="Calibri" w:hAnsi="Calibri"/>
                <w:i w:val="1"/>
                <w:sz w:val="22"/>
                <w:szCs w:val="22"/>
                <w:rtl w:val="0"/>
              </w:rPr>
              <w:t xml:space="preserve">- Fomenta la argumentación científica y ayuda a construir un lenguaje científico.  </w:t>
            </w:r>
          </w:p>
          <w:p w:rsidR="00000000" w:rsidDel="00000000" w:rsidP="00000000" w:rsidRDefault="00000000" w:rsidRPr="00000000">
            <w:pPr>
              <w:contextualSpacing w:val="0"/>
              <w:jc w:val="both"/>
            </w:pPr>
            <w:r w:rsidDel="00000000" w:rsidR="00000000" w:rsidRPr="00000000">
              <w:rPr>
                <w:rFonts w:ascii="Calibri" w:cs="Calibri" w:eastAsia="Calibri" w:hAnsi="Calibri"/>
                <w:i w:val="1"/>
                <w:sz w:val="22"/>
                <w:szCs w:val="22"/>
                <w:rtl w:val="0"/>
              </w:rPr>
              <w:t xml:space="preserve">- Ayuda a ordenar y a estructurar los conceptos y facilita la recuperación de esquemas teóricos.</w:t>
            </w:r>
          </w:p>
          <w:p w:rsidR="00000000" w:rsidDel="00000000" w:rsidP="00000000" w:rsidRDefault="00000000" w:rsidRPr="00000000">
            <w:pPr>
              <w:contextualSpacing w:val="0"/>
              <w:jc w:val="both"/>
            </w:pPr>
            <w:r w:rsidDel="00000000" w:rsidR="00000000" w:rsidRPr="00000000">
              <w:rPr>
                <w:rFonts w:ascii="Calibri" w:cs="Calibri" w:eastAsia="Calibri" w:hAnsi="Calibri"/>
                <w:i w:val="1"/>
                <w:sz w:val="22"/>
                <w:szCs w:val="22"/>
                <w:rtl w:val="0"/>
              </w:rPr>
              <w:t xml:space="preserve">- Se presta para distintos ámbitos, como por ejemplo para la lectura de textos, la resolución de problemas, y la redacción de resúmenes.  </w:t>
            </w:r>
          </w:p>
          <w:p w:rsidR="00000000" w:rsidDel="00000000" w:rsidP="00000000" w:rsidRDefault="00000000" w:rsidRPr="00000000">
            <w:pPr>
              <w:contextualSpacing w:val="0"/>
              <w:jc w:val="both"/>
              <w:rPr/>
            </w:pPr>
            <w:r w:rsidDel="00000000" w:rsidR="00000000" w:rsidRPr="00000000">
              <w:rPr>
                <w:rtl w:val="0"/>
              </w:rPr>
            </w:r>
          </w:p>
        </w:tc>
      </w:tr>
      <w:tr>
        <w:tc>
          <w:tcPr>
            <w:gridSpan w:val="2"/>
          </w:tcPr>
          <w:p w:rsidR="00000000" w:rsidDel="00000000" w:rsidP="00000000" w:rsidRDefault="00000000" w:rsidRPr="00000000">
            <w:pPr>
              <w:contextualSpacing w:val="0"/>
              <w:jc w:val="both"/>
            </w:pPr>
            <w:r w:rsidDel="00000000" w:rsidR="00000000" w:rsidRPr="00000000">
              <w:rPr>
                <w:rFonts w:ascii="Calibri" w:cs="Calibri" w:eastAsia="Calibri" w:hAnsi="Calibri"/>
                <w:sz w:val="22"/>
                <w:szCs w:val="22"/>
                <w:vertAlign w:val="baseline"/>
                <w:rtl w:val="0"/>
              </w:rPr>
              <w:t xml:space="preserve">                                             CONCLUSIONES</w:t>
            </w:r>
          </w:p>
        </w:tc>
      </w:tr>
      <w:tr>
        <w:tc>
          <w:tcPr>
            <w:gridSpan w:val="2"/>
          </w:tcPr>
          <w:p w:rsidR="00000000" w:rsidDel="00000000" w:rsidP="00000000" w:rsidRDefault="00000000" w:rsidRPr="00000000">
            <w:pPr>
              <w:contextualSpacing w:val="0"/>
              <w:jc w:val="both"/>
            </w:pPr>
            <w:r w:rsidDel="00000000" w:rsidR="00000000" w:rsidRPr="00000000">
              <w:rPr>
                <w:rFonts w:ascii="Calibri" w:cs="Calibri" w:eastAsia="Calibri" w:hAnsi="Calibri"/>
                <w:i w:val="1"/>
                <w:sz w:val="22"/>
                <w:szCs w:val="22"/>
                <w:rtl w:val="0"/>
              </w:rPr>
              <w:t xml:space="preserve">La UVE es una representación sistemática que resume todo lo que se considera relevante para llegar a construir ciertos conocimientos, y que además refleja el valor de éstos para el alumnado. Consideramos este último aspecto como la principal fortaleza de la UVE, comparado con otros modelos de evaluación. El alumno reflexiona sobre su propio proceso de aprendizaje y sobre el valor de los conceptos aprendidos, resultando en un aprendizaje más significativo. El proceso de aprendizaje de cada alumno es único y continuo en el tiempo, y no debe de ser impuesto por el profesor.  </w:t>
            </w:r>
            <w:hyperlink r:id="rId5">
              <w:r w:rsidDel="00000000" w:rsidR="00000000" w:rsidRPr="00000000">
                <w:rPr>
                  <w:rtl w:val="0"/>
                </w:rPr>
              </w:r>
            </w:hyperlink>
          </w:p>
        </w:tc>
      </w:tr>
    </w:tbl>
    <w:p w:rsidR="00000000" w:rsidDel="00000000" w:rsidP="00000000" w:rsidRDefault="00000000" w:rsidRPr="00000000">
      <w:pPr>
        <w:ind w:left="720" w:firstLine="0"/>
        <w:contextualSpacing w:val="0"/>
        <w:jc w:val="both"/>
      </w:pPr>
      <w:hyperlink r:id="rId6">
        <w:r w:rsidDel="00000000" w:rsidR="00000000" w:rsidRPr="00000000">
          <w:rPr>
            <w:rtl w:val="0"/>
          </w:rPr>
        </w:r>
      </w:hyperlink>
    </w:p>
    <w:p w:rsidR="00000000" w:rsidDel="00000000" w:rsidP="00000000" w:rsidRDefault="00000000" w:rsidRPr="00000000">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Elige un trabajo práctico de la secuencia didáctica que estás preparando y elabora la UVE correspondiente.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Calibri" w:cs="Calibri" w:eastAsia="Calibri" w:hAnsi="Calibri"/>
          <w:i w:val="1"/>
          <w:sz w:val="22"/>
          <w:szCs w:val="22"/>
          <w:rtl w:val="0"/>
        </w:rPr>
        <w:t xml:space="preserve">Ver Cmap ¨UVE 3 Actividad práctica¨</w:t>
      </w:r>
      <w:r w:rsidDel="00000000" w:rsidR="00000000" w:rsidRPr="00000000">
        <w:rPr>
          <w:rtl w:val="0"/>
        </w:rPr>
      </w:r>
    </w:p>
    <w:sectPr>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130.206.160.21/rid=1QQYB8FQN-87SRVC-220S/la-v-de-gowin-un-instrumento-para-aprender-a-aprender-y-a-pensar%5B1%5D.pdf?tokenId=1R31KWJ3N-2BT242R-1GY6R&amp;ext=true" TargetMode="External"/><Relationship Id="rId6" Type="http://schemas.openxmlformats.org/officeDocument/2006/relationships/hyperlink" Target="http://130.206.160.21/rid=1QQYB8FQN-87SRVC-220S/la-v-de-gowin-un-instrumento-para-aprender-a-aprender-y-a-pensar%5B1%5D.pdf?tokenId=1R31KWJ3N-2BT242R-1GY6R&amp;ext=true" TargetMode="External"/></Relationships>
</file>