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AD" w:rsidRPr="003D72CF" w:rsidRDefault="005A7679" w:rsidP="00DB6694">
      <w:pPr>
        <w:rPr>
          <w:rFonts w:ascii="Verdana" w:hAnsi="Verdana"/>
          <w:b/>
          <w:sz w:val="32"/>
          <w:szCs w:val="32"/>
          <w:lang w:val="es-ES_tradnl"/>
        </w:rPr>
      </w:pPr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DB6694" w:rsidRPr="003D72CF" w:rsidRDefault="00A07319" w:rsidP="004E5A0B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</w:t>
      </w:r>
      <w:r w:rsidR="00A41E3E" w:rsidRPr="003D72CF">
        <w:rPr>
          <w:rFonts w:ascii="Verdana" w:hAnsi="Verdana"/>
          <w:b/>
          <w:sz w:val="28"/>
          <w:szCs w:val="28"/>
          <w:lang w:val="es-ES_tradnl"/>
        </w:rPr>
        <w:t>Biología y Geología</w:t>
      </w:r>
      <w:r w:rsidRPr="003D72CF">
        <w:rPr>
          <w:rFonts w:ascii="Verdana" w:hAnsi="Verdana"/>
          <w:b/>
          <w:sz w:val="28"/>
          <w:szCs w:val="28"/>
          <w:lang w:val="es-ES_tradnl"/>
        </w:rPr>
        <w:t>)</w:t>
      </w:r>
    </w:p>
    <w:p w:rsidR="00A07319" w:rsidRPr="003D72CF" w:rsidRDefault="00030024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Código de la asignatura </w:t>
      </w:r>
      <w:r w:rsidR="00360011">
        <w:rPr>
          <w:rFonts w:ascii="Verdana" w:hAnsi="Verdana"/>
          <w:sz w:val="20"/>
          <w:szCs w:val="20"/>
          <w:lang w:val="es-ES_tradnl"/>
        </w:rPr>
        <w:t>73201</w:t>
      </w:r>
    </w:p>
    <w:p w:rsidR="00030024" w:rsidRDefault="008904ED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 w:rsidR="00030024">
        <w:rPr>
          <w:rFonts w:ascii="Verdana" w:hAnsi="Verdana"/>
          <w:sz w:val="20"/>
          <w:szCs w:val="20"/>
          <w:lang w:val="es-ES_tradnl"/>
        </w:rPr>
        <w:t>6</w:t>
      </w:r>
      <w:r w:rsidR="005A7679" w:rsidRPr="003D72CF">
        <w:rPr>
          <w:rFonts w:ascii="Verdana" w:hAnsi="Verdana"/>
          <w:sz w:val="20"/>
          <w:szCs w:val="20"/>
          <w:lang w:val="es-ES_tradnl"/>
        </w:rPr>
        <w:t xml:space="preserve">, </w:t>
      </w:r>
    </w:p>
    <w:p w:rsidR="008A7070" w:rsidRPr="003D72CF" w:rsidRDefault="008A7070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(Curso 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7F0553">
        <w:rPr>
          <w:rFonts w:ascii="Verdana" w:hAnsi="Verdana"/>
          <w:sz w:val="20"/>
          <w:szCs w:val="20"/>
          <w:lang w:val="es-ES_tradnl"/>
        </w:rPr>
        <w:t>6</w:t>
      </w:r>
      <w:r w:rsidRPr="003D72CF">
        <w:rPr>
          <w:rFonts w:ascii="Verdana" w:hAnsi="Verdana"/>
          <w:sz w:val="20"/>
          <w:szCs w:val="20"/>
          <w:lang w:val="es-ES_tradnl"/>
        </w:rPr>
        <w:t>/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7F0553">
        <w:rPr>
          <w:rFonts w:ascii="Verdana" w:hAnsi="Verdana"/>
          <w:sz w:val="20"/>
          <w:szCs w:val="20"/>
          <w:lang w:val="es-ES_tradnl"/>
        </w:rPr>
        <w:t>7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1A7047" w:rsidRPr="003D72CF" w:rsidRDefault="001A7047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7F0553">
        <w:rPr>
          <w:rFonts w:ascii="Verdana" w:eastAsia="Times New Roman" w:hAnsi="Verdana" w:cs="Arial"/>
          <w:b/>
          <w:bCs/>
          <w:sz w:val="20"/>
          <w:szCs w:val="20"/>
          <w:highlight w:val="yellow"/>
          <w:lang w:eastAsia="es-ES"/>
        </w:rPr>
        <w:t xml:space="preserve">SEMANAS 7-8; 11-14; </w:t>
      </w:r>
      <w:r w:rsidR="003D72CF" w:rsidRPr="007F0553">
        <w:rPr>
          <w:rFonts w:ascii="Verdana" w:eastAsia="Times New Roman" w:hAnsi="Verdana" w:cs="Arial"/>
          <w:b/>
          <w:bCs/>
          <w:sz w:val="20"/>
          <w:szCs w:val="20"/>
          <w:highlight w:val="yellow"/>
          <w:lang w:eastAsia="es-ES"/>
        </w:rPr>
        <w:t>15-19: APRENDIZAJE Y ENSEÑANZA DE LA BIOLOGÍA Y GEOLOGÍA</w:t>
      </w:r>
    </w:p>
    <w:p w:rsidR="003D72CF" w:rsidRDefault="003D72CF" w:rsidP="00990EC1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3D72CF" w:rsidRPr="003D72CF" w:rsidRDefault="003D72CF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990EC1" w:rsidRPr="003D72CF" w:rsidRDefault="00990EC1" w:rsidP="00990EC1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proofErr w:type="gramStart"/>
      <w:r w:rsidRPr="007F0553">
        <w:rPr>
          <w:rFonts w:ascii="Verdana" w:hAnsi="Verdana"/>
          <w:sz w:val="20"/>
          <w:szCs w:val="20"/>
          <w:highlight w:val="yellow"/>
          <w:lang w:val="es-ES_tradnl"/>
        </w:rPr>
        <w:t>martes</w:t>
      </w:r>
      <w:proofErr w:type="gramEnd"/>
      <w:r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 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1</w:t>
      </w:r>
      <w:r w:rsidR="00FD1FC7" w:rsidRPr="007F0553">
        <w:rPr>
          <w:rFonts w:ascii="Verdana" w:hAnsi="Verdana"/>
          <w:sz w:val="20"/>
          <w:szCs w:val="20"/>
          <w:highlight w:val="yellow"/>
          <w:lang w:val="es-ES_tradnl"/>
        </w:rPr>
        <w:t>7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:30-1</w:t>
      </w:r>
      <w:r w:rsidR="005F6873" w:rsidRPr="007F0553">
        <w:rPr>
          <w:rFonts w:ascii="Verdana" w:hAnsi="Verdana"/>
          <w:sz w:val="20"/>
          <w:szCs w:val="20"/>
          <w:highlight w:val="yellow"/>
          <w:lang w:val="es-ES_tradnl"/>
        </w:rPr>
        <w:t>9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:30</w:t>
      </w:r>
      <w:r w:rsidR="003D72CF" w:rsidRPr="007F0553">
        <w:rPr>
          <w:rFonts w:ascii="Verdana" w:hAnsi="Verdana" w:cs="Calibri"/>
          <w:sz w:val="16"/>
          <w:szCs w:val="16"/>
          <w:highlight w:val="yellow"/>
          <w:lang w:val="es-ES_tradnl"/>
        </w:rPr>
        <w:t>h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 </w:t>
      </w:r>
      <w:r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y jueves </w:t>
      </w:r>
      <w:r w:rsidR="003D72CF" w:rsidRPr="007F0553">
        <w:rPr>
          <w:rFonts w:ascii="Verdana" w:hAnsi="Verdana" w:cs="Calibri"/>
          <w:sz w:val="16"/>
          <w:szCs w:val="16"/>
          <w:highlight w:val="yellow"/>
          <w:lang w:val="es-ES_tradnl"/>
        </w:rPr>
        <w:t>15:30-17:30</w:t>
      </w:r>
      <w:r w:rsidR="003D72CF" w:rsidRPr="003D72CF">
        <w:rPr>
          <w:rFonts w:ascii="Verdana" w:hAnsi="Verdana" w:cs="Calibri"/>
          <w:sz w:val="16"/>
          <w:szCs w:val="16"/>
          <w:lang w:val="es-ES_tradnl"/>
        </w:rPr>
        <w:t xml:space="preserve"> </w:t>
      </w:r>
    </w:p>
    <w:p w:rsidR="006C4753" w:rsidRPr="003D72CF" w:rsidRDefault="006C4753" w:rsidP="003D72CF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94"/>
        <w:gridCol w:w="709"/>
        <w:gridCol w:w="1559"/>
        <w:gridCol w:w="2835"/>
        <w:gridCol w:w="1312"/>
      </w:tblGrid>
      <w:tr w:rsidR="003A4FA1" w:rsidRPr="002960DD" w:rsidTr="001B0243">
        <w:trPr>
          <w:trHeight w:hRule="exact" w:val="340"/>
          <w:tblHeader/>
          <w:jc w:val="center"/>
        </w:trPr>
        <w:tc>
          <w:tcPr>
            <w:tcW w:w="1134" w:type="dxa"/>
            <w:shd w:val="clear" w:color="auto" w:fill="auto"/>
          </w:tcPr>
          <w:p w:rsidR="003A4FA1" w:rsidRPr="00F841C5" w:rsidRDefault="003A4FA1" w:rsidP="00C36C6A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709" w:type="dxa"/>
          </w:tcPr>
          <w:p w:rsidR="003A4FA1" w:rsidRPr="00F841C5" w:rsidRDefault="003A4FA1" w:rsidP="00B27196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1194" w:type="dxa"/>
            <w:shd w:val="clear" w:color="auto" w:fill="auto"/>
          </w:tcPr>
          <w:p w:rsidR="003A4FA1" w:rsidRPr="00F841C5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3A4FA1" w:rsidP="00F770E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Lugar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2835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</w:tr>
      <w:tr w:rsidR="00F131BF" w:rsidRPr="002960DD" w:rsidTr="001B0243">
        <w:trPr>
          <w:trHeight w:hRule="exact" w:val="833"/>
          <w:jc w:val="center"/>
        </w:trPr>
        <w:tc>
          <w:tcPr>
            <w:tcW w:w="9452" w:type="dxa"/>
            <w:gridSpan w:val="7"/>
            <w:shd w:val="clear" w:color="auto" w:fill="auto"/>
          </w:tcPr>
          <w:p w:rsidR="001A7047" w:rsidRPr="00F841C5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                     </w:t>
            </w:r>
          </w:p>
          <w:p w:rsidR="00F131BF" w:rsidRPr="00F841C5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                       APRENDIZAJE Y ENSEÑANZA DE LA BIOLOGÍA Y GEOLOGÍA</w:t>
            </w:r>
          </w:p>
        </w:tc>
      </w:tr>
      <w:tr w:rsidR="00566E6E" w:rsidRPr="002960DD" w:rsidTr="001B0243">
        <w:trPr>
          <w:trHeight w:hRule="exact" w:val="833"/>
          <w:jc w:val="center"/>
        </w:trPr>
        <w:tc>
          <w:tcPr>
            <w:tcW w:w="1134" w:type="dxa"/>
            <w:shd w:val="clear" w:color="auto" w:fill="auto"/>
          </w:tcPr>
          <w:p w:rsidR="00566E6E" w:rsidRPr="00F841C5" w:rsidRDefault="00442B2C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709" w:type="dxa"/>
          </w:tcPr>
          <w:p w:rsidR="00566E6E" w:rsidRPr="00F841C5" w:rsidRDefault="00B279A7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25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SEM 7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Didáctica de las CCEE. Modelos de aprendizaje. </w:t>
            </w:r>
          </w:p>
          <w:p w:rsidR="00566E6E" w:rsidRPr="002960DD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Construcción de modelos (Pensar, Experimentar, Comunicar, Auto</w:t>
            </w:r>
            <w:r w:rsidR="006657C5">
              <w:rPr>
                <w:rFonts w:cs="Calibri"/>
                <w:sz w:val="16"/>
                <w:szCs w:val="16"/>
                <w:lang w:val="es-ES_tradnl"/>
              </w:rPr>
              <w:t>r</w:t>
            </w:r>
            <w:r>
              <w:rPr>
                <w:rFonts w:cs="Calibri"/>
                <w:sz w:val="16"/>
                <w:szCs w:val="16"/>
                <w:lang w:val="es-ES_tradnl"/>
              </w:rPr>
              <w:t>regular</w:t>
            </w:r>
            <w:r w:rsidR="00485853">
              <w:rPr>
                <w:rFonts w:cs="Calibri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670"/>
          <w:jc w:val="center"/>
        </w:trPr>
        <w:tc>
          <w:tcPr>
            <w:tcW w:w="1134" w:type="dxa"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Pr="00F841C5" w:rsidRDefault="00B279A7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27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485853" w:rsidP="00C40EB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Ideas alternativas y dificultades en Biología y Ecología en la Secundaria. Las IA en la nutrici</w:t>
            </w:r>
            <w:r w:rsidR="00C40EB3">
              <w:rPr>
                <w:rFonts w:cs="Calibri"/>
                <w:sz w:val="16"/>
                <w:szCs w:val="16"/>
                <w:lang w:val="es-ES_tradnl"/>
              </w:rPr>
              <w:t>ón de las plantas</w:t>
            </w:r>
            <w:proofErr w:type="gramStart"/>
            <w:r w:rsidR="00C40EB3">
              <w:rPr>
                <w:rFonts w:cs="Calibri"/>
                <w:sz w:val="16"/>
                <w:szCs w:val="16"/>
                <w:lang w:val="es-ES_tradnl"/>
              </w:rPr>
              <w:t>.</w:t>
            </w:r>
            <w:r>
              <w:rPr>
                <w:rFonts w:cs="Calibri"/>
                <w:sz w:val="16"/>
                <w:szCs w:val="16"/>
                <w:lang w:val="es-ES_tradnl"/>
              </w:rPr>
              <w:t>.</w:t>
            </w:r>
            <w:proofErr w:type="gramEnd"/>
          </w:p>
        </w:tc>
        <w:tc>
          <w:tcPr>
            <w:tcW w:w="1312" w:type="dxa"/>
            <w:shd w:val="clear" w:color="auto" w:fill="auto"/>
          </w:tcPr>
          <w:p w:rsidR="00566E6E" w:rsidRDefault="00566E6E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45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709" w:type="dxa"/>
          </w:tcPr>
          <w:p w:rsidR="00566E6E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SEM </w:t>
            </w:r>
            <w:r w:rsidR="003B3E3F" w:rsidRPr="00F841C5">
              <w:rPr>
                <w:rFonts w:cs="Calibri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  <w:r w:rsidR="003B3E3F">
              <w:rPr>
                <w:rFonts w:cs="Calibri"/>
                <w:sz w:val="16"/>
                <w:szCs w:val="16"/>
              </w:rPr>
              <w:t xml:space="preserve"> </w:t>
            </w:r>
            <w:r w:rsidR="003B3E3F" w:rsidRPr="003B3E3F">
              <w:rPr>
                <w:rFonts w:cs="Calibri"/>
                <w:sz w:val="16"/>
                <w:szCs w:val="16"/>
                <w:highlight w:val="red"/>
              </w:rPr>
              <w:t>JAI DA</w:t>
            </w:r>
          </w:p>
          <w:p w:rsidR="003B3E3F" w:rsidRDefault="003B3E3F" w:rsidP="000269EE">
            <w:pPr>
              <w:rPr>
                <w:rFonts w:cs="Calibri"/>
                <w:sz w:val="16"/>
                <w:szCs w:val="16"/>
              </w:rPr>
            </w:pPr>
          </w:p>
          <w:p w:rsidR="003B3E3F" w:rsidRPr="002960DD" w:rsidRDefault="003B3E3F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FESTA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C40EB3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Propuesta de un modelo unificado de nutrición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504"/>
          <w:jc w:val="center"/>
        </w:trPr>
        <w:tc>
          <w:tcPr>
            <w:tcW w:w="1134" w:type="dxa"/>
            <w:vMerge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C40EB3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Ideas alternativas y dificultades en Geología.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3A4FA1" w:rsidRPr="002960DD" w:rsidTr="001B0243">
        <w:trPr>
          <w:trHeight w:hRule="exact" w:val="639"/>
          <w:jc w:val="center"/>
        </w:trPr>
        <w:tc>
          <w:tcPr>
            <w:tcW w:w="1134" w:type="dxa"/>
            <w:vMerge/>
            <w:shd w:val="clear" w:color="auto" w:fill="auto"/>
          </w:tcPr>
          <w:p w:rsidR="003A4FA1" w:rsidRPr="00F841C5" w:rsidRDefault="003A4FA1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3A4FA1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22</w:t>
            </w:r>
          </w:p>
          <w:p w:rsidR="003A4FA1" w:rsidRPr="00F841C5" w:rsidRDefault="003A4FA1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</w:t>
            </w:r>
            <w:r w:rsidR="003B3E3F"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3A4FA1" w:rsidRPr="00F841C5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FF2C14">
            <w:pPr>
              <w:rPr>
                <w:rFonts w:cs="Calibri"/>
                <w:sz w:val="16"/>
                <w:szCs w:val="16"/>
              </w:rPr>
            </w:pPr>
            <w:r>
              <w:t>216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4FA1" w:rsidRPr="002960DD" w:rsidRDefault="00CA118B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Identificar elementos para el diseño de una propuesta didáctica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B0243">
        <w:trPr>
          <w:trHeight w:hRule="exact" w:val="847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E6772" w:rsidRPr="00F841C5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</w:tc>
        <w:tc>
          <w:tcPr>
            <w:tcW w:w="1194" w:type="dxa"/>
            <w:shd w:val="clear" w:color="auto" w:fill="auto"/>
          </w:tcPr>
          <w:p w:rsidR="001E6772" w:rsidRPr="00F841C5" w:rsidRDefault="001A7047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08234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E6772" w:rsidRDefault="00CA118B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Curriculum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LOMCE</w:t>
            </w:r>
          </w:p>
          <w:p w:rsidR="00CA118B" w:rsidRPr="002960DD" w:rsidRDefault="00CA118B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Conocimiento científico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84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29</w:t>
            </w:r>
          </w:p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12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B0243" w:rsidRDefault="00082341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Curriculum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LOMCE</w:t>
            </w:r>
          </w:p>
          <w:p w:rsidR="00CA118B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Conocimiento científico</w:t>
            </w:r>
          </w:p>
          <w:p w:rsidR="00862E31" w:rsidRPr="002960DD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Elaboración de un primer borrador de MC de referencia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862E31">
        <w:trPr>
          <w:trHeight w:hRule="exact" w:val="67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B0243" w:rsidRDefault="00082341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Conocimiento previo,  implicaciones y propuestas.</w:t>
            </w:r>
          </w:p>
          <w:p w:rsidR="00862E3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  <w:p w:rsidR="00CA118B" w:rsidRPr="002960DD" w:rsidRDefault="00CA118B" w:rsidP="00CA118B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862E31">
        <w:trPr>
          <w:trHeight w:hRule="exact" w:val="410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862E31" w:rsidRPr="00F841C5" w:rsidRDefault="00862E31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13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13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862E31" w:rsidRDefault="00FF2C14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Pr="00DD585B" w:rsidRDefault="00862E31" w:rsidP="00862E31">
            <w:pPr>
              <w:spacing w:after="0" w:line="216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DD585B">
              <w:rPr>
                <w:rFonts w:cs="Calibri"/>
                <w:b/>
                <w:sz w:val="16"/>
                <w:szCs w:val="16"/>
                <w:lang w:val="es-ES_tradnl"/>
              </w:rPr>
              <w:t>Contextualización del conocimiento</w:t>
            </w:r>
            <w:r w:rsidR="005E2B4E">
              <w:rPr>
                <w:rFonts w:cs="Calibri"/>
                <w:b/>
                <w:sz w:val="16"/>
                <w:szCs w:val="16"/>
                <w:lang w:val="es-ES_tradnl"/>
              </w:rPr>
              <w:t xml:space="preserve"> a enseñar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862E31" w:rsidRPr="002960DD" w:rsidTr="00862E31">
        <w:trPr>
          <w:trHeight w:hRule="exact" w:val="997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862E31" w:rsidRPr="00F841C5" w:rsidRDefault="00862E31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862E31" w:rsidRDefault="00FF2C14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  <w:p w:rsidR="00862E3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</w:t>
            </w:r>
            <w:r>
              <w:rPr>
                <w:rFonts w:cs="Calibri"/>
                <w:sz w:val="16"/>
                <w:szCs w:val="16"/>
                <w:lang w:val="es-ES_tradnl"/>
              </w:rPr>
              <w:t>Mapa conceptual (MC).</w:t>
            </w:r>
          </w:p>
          <w:p w:rsidR="00862E31" w:rsidRPr="003A4FA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Elaboración de un MC de referencia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862E31" w:rsidRPr="002960DD" w:rsidTr="001B0243">
        <w:trPr>
          <w:trHeight w:hRule="exact" w:val="640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862E31" w:rsidRPr="00F841C5" w:rsidRDefault="00862E31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20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14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862E31" w:rsidRDefault="00FF2C14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5E2B4E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A5. </w:t>
            </w:r>
            <w:r w:rsidR="00862E31"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</w:t>
            </w:r>
            <w:r w:rsidR="00862E31">
              <w:rPr>
                <w:rFonts w:cs="Calibri"/>
                <w:sz w:val="16"/>
                <w:szCs w:val="16"/>
                <w:lang w:val="es-ES_tradnl"/>
              </w:rPr>
              <w:t>Mapa conceptual (MC).</w:t>
            </w:r>
          </w:p>
          <w:p w:rsidR="00862E31" w:rsidRPr="003A4FA1" w:rsidRDefault="00862E31" w:rsidP="00862E3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Elaboración de un MC de referencia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1B0243" w:rsidRPr="002960DD" w:rsidTr="001B0243">
        <w:trPr>
          <w:trHeight w:hRule="exact" w:val="640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B0243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B0243" w:rsidRDefault="00082341" w:rsidP="001B0243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E2B4E" w:rsidRPr="002960DD" w:rsidRDefault="005E2B4E" w:rsidP="00FF2C14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5E2B4E">
        <w:trPr>
          <w:trHeight w:hRule="exact" w:val="83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enero</w:t>
            </w: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10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15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E2B4E" w:rsidRDefault="005E2B4E" w:rsidP="005E2B4E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PROPUESTAS DIDÁCTICAS:</w:t>
            </w:r>
          </w:p>
          <w:p w:rsidR="00FF2C14" w:rsidRPr="002960DD" w:rsidRDefault="005E2B4E" w:rsidP="005E2B4E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Secuenciación y actividades. Retomar objetivos específicos. 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5E2B4E">
        <w:trPr>
          <w:trHeight w:hRule="exact" w:val="981"/>
          <w:jc w:val="center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E2B4E" w:rsidRDefault="005E2B4E" w:rsidP="005E2B4E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 xml:space="preserve">A7. </w:t>
            </w:r>
            <w:r>
              <w:rPr>
                <w:rFonts w:cs="Calibri"/>
                <w:sz w:val="16"/>
                <w:szCs w:val="16"/>
                <w:lang w:val="es-ES_tradnl"/>
              </w:rPr>
              <w:t>DISEÑO DE PROPUESTAS DIDÁCTICAS:</w:t>
            </w:r>
          </w:p>
          <w:p w:rsidR="00862E31" w:rsidRPr="002960DD" w:rsidRDefault="005E2B4E" w:rsidP="005E2B4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Secuenciación y actividades. COMPETENCIA CIENTÍFICA.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06B57">
        <w:trPr>
          <w:trHeight w:hRule="exact" w:val="570"/>
          <w:jc w:val="center"/>
        </w:trPr>
        <w:tc>
          <w:tcPr>
            <w:tcW w:w="1134" w:type="dxa"/>
            <w:vMerge/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16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Pr="002960DD" w:rsidRDefault="005E2B4E" w:rsidP="005E2B4E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A8 Actividades tipo PISA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06B57">
        <w:trPr>
          <w:trHeight w:hRule="exact" w:val="556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Pr="002960DD" w:rsidRDefault="00106B57" w:rsidP="00FF2C14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Elaborar una actividad tipo PISA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06B57">
        <w:trPr>
          <w:trHeight w:hRule="exact" w:val="1264"/>
          <w:jc w:val="center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17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5E2B4E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A9 actividades prácticas</w:t>
            </w:r>
          </w:p>
          <w:p w:rsidR="005E2B4E" w:rsidRDefault="005E2B4E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Niveles de indagación</w:t>
            </w:r>
          </w:p>
          <w:p w:rsidR="00106B57" w:rsidRDefault="00106B57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Elaborar material para el alumnado</w:t>
            </w:r>
          </w:p>
          <w:p w:rsidR="00106B57" w:rsidRDefault="00106B57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</w:p>
          <w:p w:rsidR="00106B57" w:rsidRPr="002960DD" w:rsidRDefault="00106B57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DD585B">
        <w:trPr>
          <w:trHeight w:hRule="exact" w:val="712"/>
          <w:jc w:val="center"/>
        </w:trPr>
        <w:tc>
          <w:tcPr>
            <w:tcW w:w="1134" w:type="dxa"/>
            <w:vMerge/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E2B4E" w:rsidRDefault="005E2B4E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A10 actividades prácticas. </w:t>
            </w:r>
          </w:p>
          <w:p w:rsidR="00862E31" w:rsidRPr="002960DD" w:rsidRDefault="005E2B4E" w:rsidP="00DD585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UVE de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Gowin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06B57">
        <w:trPr>
          <w:trHeight w:hRule="exact" w:val="733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31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18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06B57" w:rsidRDefault="00106B57" w:rsidP="00106B57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A10 actividades prácticas. </w:t>
            </w:r>
          </w:p>
          <w:p w:rsidR="00862E31" w:rsidRPr="002960DD" w:rsidRDefault="00106B57" w:rsidP="00106B57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Elaborar una UVE de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Gowin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4917C6">
        <w:trPr>
          <w:trHeight w:hRule="exact" w:val="69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02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Default="00862E31" w:rsidP="00862E3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ACTIVIDADES DE EVALUACIÓN</w:t>
            </w:r>
            <w:r w:rsidR="004917C6">
              <w:rPr>
                <w:rFonts w:cs="Calibri"/>
                <w:sz w:val="16"/>
                <w:szCs w:val="16"/>
              </w:rPr>
              <w:t xml:space="preserve"> </w:t>
            </w:r>
            <w:r w:rsidR="004917C6">
              <w:rPr>
                <w:rFonts w:cs="Calibri"/>
                <w:sz w:val="16"/>
                <w:szCs w:val="16"/>
                <w:lang w:val="es-ES_tradnl"/>
              </w:rPr>
              <w:t>Elaboración de materiales para el alumnado</w:t>
            </w:r>
            <w:bookmarkStart w:id="0" w:name="_GoBack"/>
            <w:bookmarkEnd w:id="0"/>
          </w:p>
          <w:p w:rsidR="004917C6" w:rsidRPr="002960DD" w:rsidRDefault="004917C6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B0243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7</w:t>
            </w:r>
          </w:p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19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Pr="002960DD" w:rsidRDefault="00106B57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Elaboración de materiales para el alumnado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B0243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862E31" w:rsidRPr="00F841C5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862E31" w:rsidRPr="00F841C5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862E31" w:rsidRPr="00F841C5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862E31" w:rsidRDefault="00862E31" w:rsidP="00862E31">
            <w:r>
              <w:t>309</w:t>
            </w:r>
          </w:p>
        </w:tc>
        <w:tc>
          <w:tcPr>
            <w:tcW w:w="1559" w:type="dxa"/>
            <w:shd w:val="clear" w:color="auto" w:fill="auto"/>
          </w:tcPr>
          <w:p w:rsidR="00862E31" w:rsidRDefault="00862E31" w:rsidP="00862E31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Reflexión escrita</w:t>
            </w: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862E31" w:rsidRPr="002960DD" w:rsidTr="001B0243">
        <w:trPr>
          <w:trHeight w:hRule="exact" w:val="394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E31" w:rsidRPr="007F0553" w:rsidRDefault="00862E31" w:rsidP="00862E31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</w:tcPr>
          <w:p w:rsidR="00862E31" w:rsidRPr="007F0553" w:rsidRDefault="00862E31" w:rsidP="00862E3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862E31" w:rsidRPr="007F0553" w:rsidRDefault="00862E31" w:rsidP="00862E31">
            <w:pPr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862E31" w:rsidRDefault="00862E31" w:rsidP="00862E31"/>
        </w:tc>
        <w:tc>
          <w:tcPr>
            <w:tcW w:w="1559" w:type="dxa"/>
            <w:shd w:val="clear" w:color="auto" w:fill="auto"/>
          </w:tcPr>
          <w:p w:rsidR="00862E31" w:rsidRDefault="00862E31" w:rsidP="00862E31"/>
        </w:tc>
        <w:tc>
          <w:tcPr>
            <w:tcW w:w="2835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862E31" w:rsidRPr="002960DD" w:rsidRDefault="00862E31" w:rsidP="00862E31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</w:tbl>
    <w:p w:rsidR="00CB42D3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Pr="00C36C6A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500F35" w:rsidRPr="00C36C6A" w:rsidSect="00990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EB" w:rsidRDefault="005774EB" w:rsidP="00C70597">
      <w:pPr>
        <w:spacing w:after="0" w:line="240" w:lineRule="auto"/>
      </w:pPr>
      <w:r>
        <w:separator/>
      </w:r>
    </w:p>
  </w:endnote>
  <w:endnote w:type="continuationSeparator" w:id="0">
    <w:p w:rsidR="005774EB" w:rsidRDefault="005774EB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26" w:rsidRPr="00F97D8C" w:rsidRDefault="002F2E26" w:rsidP="002F2E26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F97D8C">
      <w:rPr>
        <w:rFonts w:ascii="Garamond" w:hAnsi="Garamond"/>
        <w:sz w:val="16"/>
        <w:szCs w:val="16"/>
      </w:rPr>
      <w:t xml:space="preserve">Máster Universitario en Formación del Profesorado de Educación Secundaria </w:t>
    </w:r>
  </w:p>
  <w:p w:rsidR="002F2E26" w:rsidRDefault="00F770E2" w:rsidP="002F2E26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>
      <w:rPr>
        <w:rFonts w:ascii="Garamond" w:hAnsi="Garamond"/>
        <w:sz w:val="16"/>
        <w:szCs w:val="16"/>
      </w:rPr>
      <w:t>03</w:t>
    </w:r>
    <w:r w:rsidR="002F2E26" w:rsidRPr="00F97D8C">
      <w:rPr>
        <w:rFonts w:ascii="Garamond" w:hAnsi="Garamond"/>
        <w:sz w:val="16"/>
        <w:szCs w:val="16"/>
      </w:rPr>
      <w:t>.</w:t>
    </w:r>
    <w:r w:rsidR="00DB6694" w:rsidRPr="00F97D8C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9</w:t>
    </w:r>
    <w:r w:rsidR="002F2E26" w:rsidRPr="00F97D8C">
      <w:rPr>
        <w:rFonts w:ascii="Garamond" w:hAnsi="Garamond"/>
        <w:sz w:val="16"/>
        <w:szCs w:val="16"/>
      </w:rPr>
      <w:t>.201</w:t>
    </w:r>
    <w:r w:rsidR="00DB6694" w:rsidRPr="00F97D8C">
      <w:rPr>
        <w:rFonts w:ascii="Garamond" w:hAnsi="Garamond"/>
        <w:sz w:val="16"/>
        <w:szCs w:val="16"/>
      </w:rPr>
      <w:t>3</w:t>
    </w:r>
    <w:r w:rsidR="002F2E26" w:rsidRPr="00F97D8C">
      <w:rPr>
        <w:rFonts w:ascii="Garamond" w:hAnsi="Garamond"/>
        <w:sz w:val="16"/>
        <w:szCs w:val="16"/>
      </w:rPr>
      <w:t xml:space="preserve"> – </w:t>
    </w:r>
    <w:r w:rsidR="00F97D8C">
      <w:rPr>
        <w:rFonts w:ascii="Garamond" w:hAnsi="Garamond"/>
        <w:sz w:val="16"/>
        <w:szCs w:val="16"/>
      </w:rPr>
      <w:t>V</w:t>
    </w:r>
    <w:r w:rsidR="002F2E26" w:rsidRPr="00F97D8C">
      <w:rPr>
        <w:rFonts w:ascii="Garamond" w:hAnsi="Garamond"/>
        <w:sz w:val="16"/>
        <w:szCs w:val="16"/>
      </w:rPr>
      <w:t xml:space="preserve"> 0</w:t>
    </w:r>
    <w:r w:rsidR="00DB6694" w:rsidRPr="00F97D8C">
      <w:rPr>
        <w:rFonts w:ascii="Garamond" w:hAnsi="Garamond"/>
        <w:sz w:val="16"/>
        <w:szCs w:val="16"/>
      </w:rPr>
      <w:t>0</w:t>
    </w:r>
    <w:r w:rsidR="002F2E26">
      <w:rPr>
        <w:sz w:val="16"/>
        <w:szCs w:val="16"/>
      </w:rPr>
      <w:t xml:space="preserve"> </w:t>
    </w:r>
    <w:r w:rsidR="002F2E26">
      <w:rPr>
        <w:rFonts w:asciiTheme="majorHAnsi" w:eastAsiaTheme="majorEastAsia" w:hAnsiTheme="majorHAnsi" w:cstheme="majorBidi"/>
      </w:rPr>
      <w:ptab w:relativeTo="margin" w:alignment="right" w:leader="none"/>
    </w:r>
    <w:r w:rsidR="00477D97" w:rsidRPr="002F2E26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2F2E26" w:rsidRPr="002F2E26">
      <w:rPr>
        <w:sz w:val="16"/>
        <w:szCs w:val="16"/>
      </w:rPr>
      <w:instrText>PAGE   \* MERGEFORMAT</w:instrText>
    </w:r>
    <w:r w:rsidR="00477D97" w:rsidRPr="002F2E26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4917C6" w:rsidRPr="004917C6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477D97" w:rsidRPr="002F2E26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t>/1</w:t>
    </w:r>
  </w:p>
  <w:p w:rsidR="00E649AB" w:rsidRPr="00373A33" w:rsidRDefault="00E649A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EB" w:rsidRDefault="005774EB" w:rsidP="00C70597">
      <w:pPr>
        <w:spacing w:after="0" w:line="240" w:lineRule="auto"/>
      </w:pPr>
      <w:r>
        <w:separator/>
      </w:r>
    </w:p>
  </w:footnote>
  <w:footnote w:type="continuationSeparator" w:id="0">
    <w:p w:rsidR="005774EB" w:rsidRDefault="005774EB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4917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2050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4917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2051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4917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2049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ED"/>
    <w:rsid w:val="00006096"/>
    <w:rsid w:val="00021708"/>
    <w:rsid w:val="000258AD"/>
    <w:rsid w:val="00030024"/>
    <w:rsid w:val="00043E84"/>
    <w:rsid w:val="00054BBD"/>
    <w:rsid w:val="00063FF3"/>
    <w:rsid w:val="00075F9B"/>
    <w:rsid w:val="00082341"/>
    <w:rsid w:val="00095EAC"/>
    <w:rsid w:val="00097580"/>
    <w:rsid w:val="000A1439"/>
    <w:rsid w:val="000A4118"/>
    <w:rsid w:val="000B63D0"/>
    <w:rsid w:val="00100BFB"/>
    <w:rsid w:val="001017BF"/>
    <w:rsid w:val="00106B57"/>
    <w:rsid w:val="00113B07"/>
    <w:rsid w:val="001746DA"/>
    <w:rsid w:val="0019193D"/>
    <w:rsid w:val="001A300F"/>
    <w:rsid w:val="001A6D97"/>
    <w:rsid w:val="001A7047"/>
    <w:rsid w:val="001B0243"/>
    <w:rsid w:val="001C3FB5"/>
    <w:rsid w:val="001C57C1"/>
    <w:rsid w:val="001D3AAD"/>
    <w:rsid w:val="001D4E15"/>
    <w:rsid w:val="001E26F2"/>
    <w:rsid w:val="001E6772"/>
    <w:rsid w:val="0022114B"/>
    <w:rsid w:val="00226215"/>
    <w:rsid w:val="0024214D"/>
    <w:rsid w:val="002960DD"/>
    <w:rsid w:val="002B6EA0"/>
    <w:rsid w:val="002F0BCC"/>
    <w:rsid w:val="002F2E26"/>
    <w:rsid w:val="00313035"/>
    <w:rsid w:val="00321454"/>
    <w:rsid w:val="003309A1"/>
    <w:rsid w:val="00340838"/>
    <w:rsid w:val="00354333"/>
    <w:rsid w:val="00360011"/>
    <w:rsid w:val="00373A33"/>
    <w:rsid w:val="00384140"/>
    <w:rsid w:val="003A4FA1"/>
    <w:rsid w:val="003B3E3F"/>
    <w:rsid w:val="003D72CF"/>
    <w:rsid w:val="0040752C"/>
    <w:rsid w:val="00442B2C"/>
    <w:rsid w:val="0045454F"/>
    <w:rsid w:val="00477D97"/>
    <w:rsid w:val="00485853"/>
    <w:rsid w:val="0049038B"/>
    <w:rsid w:val="004917C6"/>
    <w:rsid w:val="004E5A0B"/>
    <w:rsid w:val="00500F35"/>
    <w:rsid w:val="005012F2"/>
    <w:rsid w:val="00542CBB"/>
    <w:rsid w:val="00564779"/>
    <w:rsid w:val="00566E6E"/>
    <w:rsid w:val="005677CD"/>
    <w:rsid w:val="005753BF"/>
    <w:rsid w:val="005774EB"/>
    <w:rsid w:val="005A7679"/>
    <w:rsid w:val="005D32B4"/>
    <w:rsid w:val="005E2B4E"/>
    <w:rsid w:val="005E3BD9"/>
    <w:rsid w:val="005E6883"/>
    <w:rsid w:val="005F6873"/>
    <w:rsid w:val="00603327"/>
    <w:rsid w:val="00625389"/>
    <w:rsid w:val="006657C5"/>
    <w:rsid w:val="00684EA7"/>
    <w:rsid w:val="006A17AD"/>
    <w:rsid w:val="006C3164"/>
    <w:rsid w:val="006C4753"/>
    <w:rsid w:val="006C7B41"/>
    <w:rsid w:val="006F1310"/>
    <w:rsid w:val="00731B43"/>
    <w:rsid w:val="00736651"/>
    <w:rsid w:val="0074081E"/>
    <w:rsid w:val="007B314C"/>
    <w:rsid w:val="007B3E5D"/>
    <w:rsid w:val="007C0C62"/>
    <w:rsid w:val="007C13F4"/>
    <w:rsid w:val="007F0553"/>
    <w:rsid w:val="008065E7"/>
    <w:rsid w:val="008159DD"/>
    <w:rsid w:val="008201E7"/>
    <w:rsid w:val="008405CE"/>
    <w:rsid w:val="00853044"/>
    <w:rsid w:val="00862E31"/>
    <w:rsid w:val="008904ED"/>
    <w:rsid w:val="008A7070"/>
    <w:rsid w:val="008F72F0"/>
    <w:rsid w:val="00906DAD"/>
    <w:rsid w:val="00911A27"/>
    <w:rsid w:val="00967133"/>
    <w:rsid w:val="0098134C"/>
    <w:rsid w:val="00990AFE"/>
    <w:rsid w:val="00990EC1"/>
    <w:rsid w:val="009F11BA"/>
    <w:rsid w:val="00A07319"/>
    <w:rsid w:val="00A277F7"/>
    <w:rsid w:val="00A41E3E"/>
    <w:rsid w:val="00A55CA6"/>
    <w:rsid w:val="00A83B97"/>
    <w:rsid w:val="00A877A1"/>
    <w:rsid w:val="00A903E4"/>
    <w:rsid w:val="00AC4E7C"/>
    <w:rsid w:val="00AD6DAC"/>
    <w:rsid w:val="00AD7871"/>
    <w:rsid w:val="00AF19FA"/>
    <w:rsid w:val="00B10161"/>
    <w:rsid w:val="00B26676"/>
    <w:rsid w:val="00B279A7"/>
    <w:rsid w:val="00B279D9"/>
    <w:rsid w:val="00B7310C"/>
    <w:rsid w:val="00BC29E0"/>
    <w:rsid w:val="00BC5E58"/>
    <w:rsid w:val="00BE3C07"/>
    <w:rsid w:val="00BE4BDF"/>
    <w:rsid w:val="00BE5039"/>
    <w:rsid w:val="00BF0795"/>
    <w:rsid w:val="00C04430"/>
    <w:rsid w:val="00C047E0"/>
    <w:rsid w:val="00C05751"/>
    <w:rsid w:val="00C05DB9"/>
    <w:rsid w:val="00C063D4"/>
    <w:rsid w:val="00C105E6"/>
    <w:rsid w:val="00C36C6A"/>
    <w:rsid w:val="00C40EB3"/>
    <w:rsid w:val="00C4302F"/>
    <w:rsid w:val="00C436E3"/>
    <w:rsid w:val="00C63333"/>
    <w:rsid w:val="00C63F4D"/>
    <w:rsid w:val="00C70597"/>
    <w:rsid w:val="00CA118B"/>
    <w:rsid w:val="00CB42D3"/>
    <w:rsid w:val="00CB6F80"/>
    <w:rsid w:val="00CC375C"/>
    <w:rsid w:val="00CF576E"/>
    <w:rsid w:val="00D4086B"/>
    <w:rsid w:val="00DA42EC"/>
    <w:rsid w:val="00DB4C4C"/>
    <w:rsid w:val="00DB6694"/>
    <w:rsid w:val="00DD14D5"/>
    <w:rsid w:val="00DD585B"/>
    <w:rsid w:val="00DF6CA6"/>
    <w:rsid w:val="00E161D3"/>
    <w:rsid w:val="00E323E6"/>
    <w:rsid w:val="00E649AB"/>
    <w:rsid w:val="00E81F7D"/>
    <w:rsid w:val="00ED313A"/>
    <w:rsid w:val="00F11CCF"/>
    <w:rsid w:val="00F131BF"/>
    <w:rsid w:val="00F20A12"/>
    <w:rsid w:val="00F4259B"/>
    <w:rsid w:val="00F632C0"/>
    <w:rsid w:val="00F770E2"/>
    <w:rsid w:val="00F841C5"/>
    <w:rsid w:val="00F93BDE"/>
    <w:rsid w:val="00F97D8C"/>
    <w:rsid w:val="00FB3001"/>
    <w:rsid w:val="00FD1FC7"/>
    <w:rsid w:val="00FE6D56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A102FD-9ECB-433A-AC1E-73079F1A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973E-5D9C-4673-8CBF-5FAAAE56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creator>Jesús Echeverría Morrás</dc:creator>
  <cp:lastModifiedBy>arantzazu.guruceaga</cp:lastModifiedBy>
  <cp:revision>4</cp:revision>
  <cp:lastPrinted>2014-09-09T13:03:00Z</cp:lastPrinted>
  <dcterms:created xsi:type="dcterms:W3CDTF">2016-11-07T14:32:00Z</dcterms:created>
  <dcterms:modified xsi:type="dcterms:W3CDTF">2016-11-08T15:18:00Z</dcterms:modified>
</cp:coreProperties>
</file>